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6" w:rsidRDefault="00117DA7" w:rsidP="005B47E6">
      <w:pPr>
        <w:pStyle w:val="a3"/>
      </w:pPr>
      <w:bookmarkStart w:id="0" w:name="_GoBack"/>
      <w:bookmarkEnd w:id="0"/>
      <w:r>
        <w:rPr>
          <w:b/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35pt;margin-top:59.2pt;width:54.65pt;height:70.35pt;z-index:251658240;mso-wrap-distance-left:9.05pt;mso-wrap-distance-right:9.05pt;mso-position-horizontal-relative:margin;mso-position-vertical-relative:page" filled="t">
            <v:fill color2="black"/>
            <v:imagedata r:id="rId6" o:title="" croptop="-42f" cropbottom="-42f" cropleft="-53f" cropright="-53f"/>
            <w10:wrap type="topAndBottom" anchorx="margin" anchory="page"/>
          </v:shape>
          <o:OLEObject Type="Embed" ProgID="Word.Picture.8" ShapeID="_x0000_s1026" DrawAspect="Content" ObjectID="_1792911001" r:id="rId7"/>
        </w:pict>
      </w:r>
    </w:p>
    <w:p w:rsidR="005B47E6" w:rsidRDefault="005B47E6" w:rsidP="005B47E6">
      <w:pPr>
        <w:pStyle w:val="a3"/>
        <w:ind w:left="2832"/>
      </w:pPr>
      <w:r>
        <w:rPr>
          <w:b/>
          <w:sz w:val="28"/>
          <w:szCs w:val="28"/>
        </w:rPr>
        <w:t>Российская Федерация</w:t>
      </w:r>
    </w:p>
    <w:p w:rsidR="005B47E6" w:rsidRDefault="005B47E6" w:rsidP="005B47E6">
      <w:pPr>
        <w:pStyle w:val="a3"/>
        <w:jc w:val="center"/>
      </w:pPr>
      <w:r>
        <w:rPr>
          <w:b/>
          <w:sz w:val="28"/>
          <w:szCs w:val="28"/>
        </w:rPr>
        <w:t>Новгородская область Валдайский  район</w:t>
      </w:r>
    </w:p>
    <w:p w:rsidR="005B47E6" w:rsidRDefault="005B47E6" w:rsidP="005B47E6">
      <w:pPr>
        <w:pStyle w:val="a3"/>
        <w:jc w:val="center"/>
      </w:pPr>
      <w:r>
        <w:rPr>
          <w:b/>
          <w:sz w:val="28"/>
          <w:szCs w:val="28"/>
        </w:rPr>
        <w:t>АДМИНИСТРАЦИЯ КОСТКОВСКОГО СЕЛЬСКОГО ПОСЕЛЕНИЯ</w:t>
      </w:r>
    </w:p>
    <w:p w:rsidR="005B47E6" w:rsidRDefault="005B47E6" w:rsidP="005B47E6">
      <w:pPr>
        <w:jc w:val="center"/>
        <w:rPr>
          <w:b/>
          <w:sz w:val="28"/>
          <w:szCs w:val="28"/>
        </w:rPr>
      </w:pPr>
    </w:p>
    <w:p w:rsidR="005B47E6" w:rsidRDefault="005B47E6" w:rsidP="005B47E6">
      <w:pPr>
        <w:pStyle w:val="a3"/>
        <w:jc w:val="center"/>
      </w:pPr>
      <w:r>
        <w:rPr>
          <w:b/>
          <w:color w:val="000000"/>
          <w:sz w:val="28"/>
          <w:szCs w:val="28"/>
        </w:rPr>
        <w:t xml:space="preserve">ПОСТАНОВЛЕНИЕ  </w:t>
      </w:r>
      <w:r>
        <w:rPr>
          <w:b/>
          <w:color w:val="000000"/>
          <w:sz w:val="28"/>
          <w:szCs w:val="28"/>
        </w:rPr>
        <w:tab/>
      </w:r>
    </w:p>
    <w:p w:rsidR="005B47E6" w:rsidRDefault="005B47E6" w:rsidP="005B47E6">
      <w:pPr>
        <w:pStyle w:val="a3"/>
        <w:jc w:val="both"/>
        <w:rPr>
          <w:b/>
          <w:color w:val="000000"/>
          <w:sz w:val="28"/>
          <w:szCs w:val="28"/>
        </w:rPr>
      </w:pPr>
    </w:p>
    <w:p w:rsidR="005B47E6" w:rsidRDefault="005B47E6" w:rsidP="005B47E6">
      <w:pPr>
        <w:pStyle w:val="a3"/>
        <w:jc w:val="both"/>
      </w:pPr>
      <w:r>
        <w:rPr>
          <w:sz w:val="28"/>
          <w:szCs w:val="28"/>
        </w:rPr>
        <w:t>от  28.12.2023 № 185</w:t>
      </w:r>
    </w:p>
    <w:p w:rsidR="005B47E6" w:rsidRDefault="005B47E6" w:rsidP="005B47E6">
      <w:pPr>
        <w:pStyle w:val="a3"/>
        <w:jc w:val="both"/>
      </w:pPr>
      <w:r>
        <w:rPr>
          <w:sz w:val="28"/>
          <w:szCs w:val="28"/>
        </w:rPr>
        <w:t>д. Костково</w:t>
      </w:r>
    </w:p>
    <w:p w:rsidR="005B47E6" w:rsidRDefault="005B47E6" w:rsidP="005B47E6">
      <w:pPr>
        <w:pStyle w:val="a3"/>
        <w:jc w:val="both"/>
        <w:rPr>
          <w:sz w:val="28"/>
          <w:szCs w:val="28"/>
        </w:rPr>
      </w:pPr>
    </w:p>
    <w:p w:rsidR="005B47E6" w:rsidRDefault="005B47E6" w:rsidP="005B47E6">
      <w:pPr>
        <w:pStyle w:val="a3"/>
      </w:pPr>
      <w:r>
        <w:rPr>
          <w:b/>
          <w:bCs/>
          <w:sz w:val="28"/>
          <w:szCs w:val="28"/>
        </w:rPr>
        <w:t>Об основных направлениях бюджетной</w:t>
      </w:r>
    </w:p>
    <w:p w:rsidR="005B47E6" w:rsidRDefault="005B47E6" w:rsidP="005B47E6">
      <w:pPr>
        <w:pStyle w:val="a3"/>
      </w:pPr>
      <w:r>
        <w:rPr>
          <w:b/>
          <w:bCs/>
          <w:sz w:val="28"/>
          <w:szCs w:val="28"/>
        </w:rPr>
        <w:t>и налоговой политики Администрации</w:t>
      </w:r>
    </w:p>
    <w:p w:rsidR="005B47E6" w:rsidRDefault="005B47E6" w:rsidP="005B47E6">
      <w:pPr>
        <w:pStyle w:val="a3"/>
      </w:pPr>
      <w:r>
        <w:rPr>
          <w:b/>
          <w:bCs/>
          <w:sz w:val="28"/>
          <w:szCs w:val="28"/>
        </w:rPr>
        <w:t xml:space="preserve">Костковского сельского поселения на 2024 </w:t>
      </w:r>
    </w:p>
    <w:p w:rsidR="005B47E6" w:rsidRDefault="005B47E6" w:rsidP="005B47E6">
      <w:pPr>
        <w:pStyle w:val="a3"/>
      </w:pPr>
      <w:r>
        <w:rPr>
          <w:b/>
          <w:bCs/>
          <w:sz w:val="28"/>
          <w:szCs w:val="28"/>
        </w:rPr>
        <w:t>год и на плановый период 2025 и 2026 годов</w:t>
      </w:r>
    </w:p>
    <w:p w:rsidR="005B47E6" w:rsidRDefault="005B47E6" w:rsidP="005B47E6">
      <w:pPr>
        <w:pStyle w:val="a3"/>
      </w:pPr>
    </w:p>
    <w:p w:rsidR="005B47E6" w:rsidRDefault="005B47E6" w:rsidP="005B47E6">
      <w:pPr>
        <w:pStyle w:val="a3"/>
      </w:pPr>
    </w:p>
    <w:p w:rsidR="005B47E6" w:rsidRPr="001E16B6" w:rsidRDefault="005B47E6" w:rsidP="005B47E6">
      <w:pPr>
        <w:pStyle w:val="a8"/>
        <w:jc w:val="both"/>
      </w:pPr>
      <w:r>
        <w:rPr>
          <w:sz w:val="28"/>
          <w:szCs w:val="28"/>
        </w:rPr>
        <w:tab/>
        <w:t>В целях разработки проекта бюджета Костковского  сельского поселения на 2024 год и плановый период 2025 и 2026 годов, руководствуясь ст. 172, 184.2 Бюджетного кодекса Российской Федерации, ст. 14 Федерального закона от 06.10.2003 г. «Об общих принципах организации местного самоуправления в Российской Федерации» Администрация  Костковского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5B47E6" w:rsidRDefault="005B47E6" w:rsidP="005B47E6">
      <w:pPr>
        <w:pStyle w:val="a8"/>
        <w:jc w:val="both"/>
      </w:pPr>
      <w:r>
        <w:rPr>
          <w:b/>
          <w:bCs/>
          <w:sz w:val="28"/>
          <w:szCs w:val="28"/>
        </w:rPr>
        <w:t>ПОСТАНОВЛЯЕТ:</w:t>
      </w:r>
    </w:p>
    <w:p w:rsidR="005B47E6" w:rsidRDefault="005B47E6" w:rsidP="005B47E6">
      <w:pPr>
        <w:pStyle w:val="a3"/>
        <w:ind w:firstLine="709"/>
        <w:jc w:val="both"/>
      </w:pPr>
      <w:r>
        <w:rPr>
          <w:sz w:val="28"/>
          <w:szCs w:val="28"/>
        </w:rPr>
        <w:t> 1. Утвердить основные направления бюджетной и налоговой политики  Администрации  Костковского сельского поселения.</w:t>
      </w:r>
    </w:p>
    <w:p w:rsidR="005B47E6" w:rsidRDefault="005B47E6" w:rsidP="005B47E6">
      <w:pPr>
        <w:pStyle w:val="a3"/>
        <w:ind w:firstLine="709"/>
        <w:jc w:val="both"/>
      </w:pPr>
      <w:r>
        <w:rPr>
          <w:sz w:val="28"/>
          <w:szCs w:val="28"/>
        </w:rPr>
        <w:t>2</w:t>
      </w:r>
      <w:r>
        <w:rPr>
          <w:bCs/>
          <w:sz w:val="28"/>
          <w:szCs w:val="28"/>
        </w:rPr>
        <w:t>. Действие настоящего постановления распространяется на правоотношения  возникшие с 01 января 2024 года.</w:t>
      </w:r>
    </w:p>
    <w:p w:rsidR="005B47E6" w:rsidRDefault="005B47E6" w:rsidP="005B47E6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3. Признать утратившим силу постановление администрации Костковского сельского поселения от 21.12.2022 № 458 «</w:t>
      </w:r>
      <w:r>
        <w:rPr>
          <w:rStyle w:val="a7"/>
          <w:color w:val="000000"/>
          <w:sz w:val="28"/>
          <w:szCs w:val="28"/>
        </w:rPr>
        <w:t>Об основных направлениях бюджетной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7"/>
          <w:color w:val="000000"/>
          <w:sz w:val="28"/>
          <w:szCs w:val="28"/>
        </w:rPr>
        <w:t>и налоговой политики Администрации Костковского сельского поселения на 2023год и на плановый период 2024 и 2025 годов».</w:t>
      </w:r>
    </w:p>
    <w:p w:rsidR="005B47E6" w:rsidRDefault="005B47E6" w:rsidP="005B47E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4.Опубликовать данное постановление в информационном бюллетене «Костковский вестник» и на официальном сайте Администрации Костковского сельского поселения в сети «Интернет».</w:t>
      </w:r>
    </w:p>
    <w:p w:rsidR="005B47E6" w:rsidRDefault="005B47E6" w:rsidP="005B47E6">
      <w:pPr>
        <w:pStyle w:val="a3"/>
        <w:ind w:firstLine="709"/>
        <w:jc w:val="both"/>
      </w:pPr>
    </w:p>
    <w:p w:rsidR="005B47E6" w:rsidRDefault="005B47E6" w:rsidP="005B47E6">
      <w:pPr>
        <w:pStyle w:val="a3"/>
        <w:rPr>
          <w:bCs/>
          <w:sz w:val="28"/>
          <w:szCs w:val="28"/>
        </w:rPr>
      </w:pPr>
    </w:p>
    <w:p w:rsidR="005B47E6" w:rsidRDefault="005B47E6" w:rsidP="005B47E6">
      <w:pPr>
        <w:pStyle w:val="a3"/>
      </w:pPr>
      <w:r>
        <w:rPr>
          <w:b/>
          <w:sz w:val="28"/>
          <w:szCs w:val="28"/>
        </w:rPr>
        <w:t>Глава Костковского</w:t>
      </w:r>
    </w:p>
    <w:p w:rsidR="005B47E6" w:rsidRDefault="005B47E6" w:rsidP="005B47E6">
      <w:pPr>
        <w:pStyle w:val="a3"/>
        <w:ind w:right="141"/>
        <w:rPr>
          <w:rFonts w:eastAsia="Arial"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>
        <w:rPr>
          <w:rFonts w:eastAsia="Arial"/>
          <w:b/>
          <w:sz w:val="28"/>
          <w:szCs w:val="28"/>
        </w:rPr>
        <w:t>Н.А. Бондаренко</w:t>
      </w:r>
    </w:p>
    <w:p w:rsidR="005B47E6" w:rsidRDefault="005B47E6" w:rsidP="005B47E6">
      <w:pPr>
        <w:pStyle w:val="a3"/>
        <w:rPr>
          <w:rFonts w:eastAsia="Arial"/>
          <w:b/>
          <w:sz w:val="28"/>
          <w:szCs w:val="28"/>
        </w:rPr>
      </w:pPr>
    </w:p>
    <w:p w:rsidR="005B47E6" w:rsidRDefault="005B47E6" w:rsidP="005B47E6">
      <w:pPr>
        <w:pStyle w:val="a3"/>
        <w:rPr>
          <w:rFonts w:eastAsia="Arial"/>
          <w:b/>
          <w:sz w:val="28"/>
          <w:szCs w:val="28"/>
        </w:rPr>
      </w:pPr>
    </w:p>
    <w:p w:rsidR="005B47E6" w:rsidRDefault="005B47E6" w:rsidP="005B47E6">
      <w:pPr>
        <w:pStyle w:val="22"/>
        <w:shd w:val="clear" w:color="auto" w:fill="auto"/>
        <w:spacing w:after="520" w:line="276" w:lineRule="auto"/>
        <w:ind w:left="576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1 к постановлению администрации Костковского сельского поселения № 185 от   28.12.2023 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after="620" w:line="276" w:lineRule="auto"/>
        <w:ind w:left="284" w:firstLine="0"/>
        <w:jc w:val="center"/>
        <w:rPr>
          <w:b/>
          <w:bCs/>
        </w:rPr>
      </w:pPr>
      <w:r>
        <w:rPr>
          <w:b/>
          <w:bCs/>
        </w:rPr>
        <w:t>Основные направления бюджетной и налоговой политики Костковского сельского поселения на 2024 год и плановый период 2025 и 2026 годов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 xml:space="preserve">      Основные направления бюджетной политики на 2024 год и на плановый период 2025 и 2026 годов подготовлены в соответствии с бюджетным законодательством Российской Федерации в целях составления проекта бюджета Костковского  сельского поселения на 2024 год и на плановый период 2025 и 2026 годов.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 xml:space="preserve">     В основу бюджетной и налоговой политики на 2024 год и плановый период 2025 и 2026 годов положены стратегические цели развития страны и Валдайского муниципального района, концепции социально-экономического развития района в целом.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Основные направления бюджетной и налоговой политики составлены с учетом преемственности ранее поставленных базовых целей и задач.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380"/>
        <w:jc w:val="both"/>
      </w:pPr>
      <w:r>
        <w:t>При подготовке основных направлений бюджетной политики были учтены: Послание Президента РФ Федеральному собранию от 21.02.2023 года,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условиях негативного влияния на развитие региона последствий санкционного давления на Российскую Федерацию со стороны недружественных стран, муниципальные программы Костковского сельского поселения Валдайского муниципального района.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380"/>
        <w:jc w:val="both"/>
      </w:pPr>
    </w:p>
    <w:p w:rsidR="005B47E6" w:rsidRDefault="005B47E6" w:rsidP="005B47E6">
      <w:pPr>
        <w:pStyle w:val="13"/>
        <w:numPr>
          <w:ilvl w:val="0"/>
          <w:numId w:val="1"/>
        </w:numPr>
        <w:shd w:val="clear" w:color="auto" w:fill="auto"/>
        <w:tabs>
          <w:tab w:val="left" w:pos="318"/>
          <w:tab w:val="left" w:pos="8505"/>
        </w:tabs>
        <w:spacing w:after="360" w:line="276" w:lineRule="auto"/>
        <w:ind w:left="284"/>
      </w:pPr>
      <w:r>
        <w:t>Основные итоги реализации бюджетной и налоговой политики в  2022 году и истекшем периоде 2023 года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 xml:space="preserve">В 2022 - 2023 годах формирование бюджета поселения осуществлялось на основе муниципальных программ, что позволило гарантированно обеспечить финансовыми ресурсами действующие расходные обязательства, прозрачно и конкурентно распределять </w:t>
      </w:r>
      <w:r>
        <w:lastRenderedPageBreak/>
        <w:t>имеющиеся средства.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Благодаря эффективной реализации бюджетной политики своевременно проведена работа по оптимизации и повышению эффективности бюджетных расходов, соблюдению нормативов расходов на содержание органов местного самоуправления, оптимизации численности работников органов местного самоуправления, недопущению кредиторской задолженности по принятым обязательствам.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В числе положительных итогов бюджетно-налоговой политики Костковского сельского поселения можно отметить следующие показатели: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>-организацию мероприятий по сокращению недоимки по налоговым доходам юридических и физических лиц;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>-оптимизация расходной части бюджета и направление на обязательства приоритетного характера. В полном объеме осуществлялось финансирование расходных обязательств, связанных с оплатой труда, в приоритетном порядке реализовывались мероприятия, софинансируемые из вышестоящих бюджетов;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>-проведение мероприятий, направленных на легализацию трудовых отношений на территории Валдайского муниципального района;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 xml:space="preserve"> -отсутствие объёма муниципального долга.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Соблюдая преемственность целей и задач, направленных в предыдущем периоде, бюджетная и налоговая политика бюджета поселения в 2024 - 2026 годах будет строиться на следующих принципах: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>-обеспечение финансовой устойчивости и сбалансированности бюджета; -увязка стратегического и бюджетного планирования;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900"/>
        <w:jc w:val="both"/>
      </w:pPr>
      <w:r>
        <w:t>-принятие действенных мер по экономии бюджетных средств;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900"/>
        <w:jc w:val="both"/>
      </w:pPr>
      <w:r>
        <w:t>-внедрение действенных и эффективных инструментов, позволяющих повысить эффективность управления муниципальными финансами.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900"/>
        <w:jc w:val="both"/>
      </w:pP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after="360" w:line="276" w:lineRule="auto"/>
        <w:ind w:left="284" w:firstLine="0"/>
        <w:jc w:val="center"/>
      </w:pPr>
      <w:r>
        <w:rPr>
          <w:b/>
          <w:bCs/>
          <w:lang w:val="en-US" w:bidi="en-US"/>
        </w:rPr>
        <w:t>II</w:t>
      </w:r>
      <w:r w:rsidRPr="00F7054C">
        <w:rPr>
          <w:b/>
          <w:bCs/>
          <w:lang w:bidi="en-US"/>
        </w:rPr>
        <w:t xml:space="preserve">. </w:t>
      </w:r>
      <w:r>
        <w:rPr>
          <w:b/>
          <w:bCs/>
        </w:rPr>
        <w:t>Основные направления бюджетной и налоговой политики</w:t>
      </w:r>
      <w:r>
        <w:rPr>
          <w:b/>
          <w:bCs/>
        </w:rPr>
        <w:br/>
        <w:t>на 2024 - 2026 года</w:t>
      </w:r>
    </w:p>
    <w:p w:rsidR="005B47E6" w:rsidRDefault="005B47E6" w:rsidP="005B47E6">
      <w:pPr>
        <w:pStyle w:val="13"/>
        <w:shd w:val="clear" w:color="auto" w:fill="auto"/>
        <w:tabs>
          <w:tab w:val="left" w:pos="8505"/>
        </w:tabs>
        <w:spacing w:after="320" w:line="276" w:lineRule="auto"/>
        <w:ind w:left="284"/>
      </w:pPr>
      <w:r>
        <w:t>1. Основные направления бюджетной и налоговой политики</w:t>
      </w:r>
      <w:r>
        <w:br/>
        <w:t>в области доходов на 2024-2026 гг.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 xml:space="preserve">В 2024-2026 годах решение задач социально-экономического развития будет осуществляться в условиях преемственности курса бюджетной политики по обеспечению стабильности, долгосрочной </w:t>
      </w:r>
      <w:r>
        <w:lastRenderedPageBreak/>
        <w:t>сбалансированности и устойчивости бюджетной системы, будет продолжена реализация целей и задач, предусмотренных в предыдущих периодах.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В трехлетней перспективе будет продолжена работа по укреплению и развитию налогового потенциала бюджета Костковского сельского поселения  Валдайского муниципального района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Федерации, исполнению утвержденного плана мероприятий по увеличению поступлений собственных доходов, совершенствованию долговой политики и сокращению муниципального долга, оптимизации бюджетных расходов и оздоровлению муниципальных финансов.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В 2024 году планируется продолжить работу по выявлению и исправлению технических ошибок и несоответствий по объектам недвижимости в основных информационных ресурсах, координировать усилия муниципального земельного контроля для максимального учета при проведении мероприятий по увеличению налоговых поступлений. Обеспечение полноты собираемости налогов остается важнейшей задачей в условиях сохраняющейся нестабильности экономической ситуации.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700"/>
        <w:jc w:val="both"/>
      </w:pPr>
      <w:r>
        <w:t>В основе бюджетной и налоговой политики в области доходов определяются следующие основные задачи на 2024-2026 гг.: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100"/>
        <w:jc w:val="both"/>
      </w:pPr>
      <w:r>
        <w:t>-совершенствование налогового администрирования, взаимодействия и совместной работы с администраторами доходов;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100"/>
        <w:jc w:val="both"/>
      </w:pPr>
      <w:r>
        <w:t>-взаимодействие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сборов, сокращению недоимки, усилению налоговой дисциплины, по вопросам легализации заработной платы наемных работников и доведению официальных доходов до величины прожиточного минимума;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020"/>
        <w:jc w:val="both"/>
      </w:pPr>
      <w:r>
        <w:t>-оптимизация существующей системы налоговых льгот, мониторинг эффективности налоговых льгот;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020"/>
        <w:jc w:val="both"/>
      </w:pPr>
      <w:r>
        <w:t>-повышение эффективности использования муниципальной собственности;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020"/>
        <w:jc w:val="both"/>
      </w:pPr>
      <w:r>
        <w:t>-проведение работы среди населения с целью государственной регистрации недвижимости, регистрации земельных участков с целью увеличения налогооблагаемой базы для исчисления имущественных налогов;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020"/>
        <w:jc w:val="both"/>
      </w:pPr>
      <w:r>
        <w:t>-реализация мероприятий по выводу из «тени» доходов предпринимателей и легализации заработной платы;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after="300" w:line="276" w:lineRule="auto"/>
        <w:ind w:left="284" w:firstLine="1100"/>
        <w:jc w:val="both"/>
      </w:pPr>
      <w:r>
        <w:lastRenderedPageBreak/>
        <w:t>-поиск возможности привлечения частных инвестиций для развития социальной сферы.</w:t>
      </w:r>
    </w:p>
    <w:p w:rsidR="005B47E6" w:rsidRDefault="00FB4019" w:rsidP="00FB4019">
      <w:pPr>
        <w:pStyle w:val="13"/>
        <w:shd w:val="clear" w:color="auto" w:fill="auto"/>
        <w:tabs>
          <w:tab w:val="left" w:pos="357"/>
          <w:tab w:val="left" w:pos="8505"/>
        </w:tabs>
        <w:spacing w:after="300" w:line="276" w:lineRule="auto"/>
        <w:ind w:left="284"/>
      </w:pPr>
      <w:r>
        <w:t>2.</w:t>
      </w:r>
      <w:r w:rsidR="005B47E6">
        <w:t>Основные направления бюджетной и налоговой политики</w:t>
      </w:r>
      <w:r w:rsidR="005B47E6">
        <w:br/>
        <w:t>в области расходов на 2024-2026 гг.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Важнейшими задачами бюджетной политики на 2024 год и среднесрочную перспективу являются обеспечение сбалансированности местного бюджета, безусловное исполнение принятых расходных обязательств, повышение эффективности бюджетных расходов.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 xml:space="preserve">Бюджетная стратегия направлена на решение таких задач, как организация бюджетного процесса на основе расходных обязательств публично-правового характера, планирование расходов на основе разделения действующих и принимаемых обязательств. </w:t>
      </w:r>
      <w:r>
        <w:rPr>
          <w:color w:val="131312"/>
        </w:rPr>
        <w:t>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Исходя их этого, целесообразно использование следующих подходов: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920"/>
        <w:jc w:val="both"/>
      </w:pPr>
      <w:r>
        <w:t>-обеспечение открытости информации о достигнутых и планируемых результатах бюджетной политики и использовании средств местного бюджета;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920"/>
        <w:jc w:val="both"/>
      </w:pPr>
      <w:r>
        <w:t>-формирование расходов бюджета в соответствии с расходными обязательствами по вопросам местного значения на основе реестра расходных обязательств поселения с учетом прогнозируемого уровня цен, тарифов на поставку товаров, оказания услуг организациями в соответствии с заключенными договорами;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920"/>
        <w:jc w:val="both"/>
      </w:pPr>
      <w:r>
        <w:t>-определения приоритетных направлений расходов при формировании бюджета на 2024-2026 годов, обеспечивающих социальную стабильность в поселении: расходы на оплату труда, расходы на коммунальные услуги, расходы на проведение мероприятий по подготовке к зимнему периоду;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000"/>
        <w:jc w:val="both"/>
      </w:pPr>
      <w:r>
        <w:t>-построение стратегии бюджетных расходов исходя из долгосрочных тенденций;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000"/>
        <w:jc w:val="both"/>
      </w:pPr>
      <w:r>
        <w:t>-совершенствование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работ, оказание услуг для муниципальных нужд, и рациональное использование средств бюджета.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1"/>
        <w:jc w:val="both"/>
      </w:pPr>
      <w:r>
        <w:t xml:space="preserve">Для повышения эффективности и результативности использования средств местного бюджета необходимо осуществление следующих </w:t>
      </w:r>
      <w:r>
        <w:lastRenderedPageBreak/>
        <w:t xml:space="preserve">мероприятий:     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1"/>
        <w:jc w:val="both"/>
      </w:pPr>
      <w:r>
        <w:t>-своевременное составление на основе утвержденного бюджета сводной бюджетной росписи в соответствии с классификацией расходов бюджетов Российской Федерации;</w:t>
      </w:r>
    </w:p>
    <w:p w:rsidR="005B47E6" w:rsidRPr="006D5B3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800"/>
        <w:jc w:val="both"/>
        <w:rPr>
          <w:color w:val="000000"/>
          <w:lang w:bidi="ru-RU"/>
        </w:rPr>
      </w:pPr>
      <w:r>
        <w:t>-контроль за принятием получателями бюджетных средств денежных расходных обязательств, в пределах, доведенных до них лимитов бюджетных обязательств и сметы доходов и расходов;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800"/>
        <w:jc w:val="both"/>
      </w:pPr>
      <w:r>
        <w:t>-проверка целевого использования бюджетных средств;</w:t>
      </w:r>
    </w:p>
    <w:p w:rsidR="005B47E6" w:rsidRDefault="005B47E6" w:rsidP="005B47E6">
      <w:pPr>
        <w:pStyle w:val="11"/>
        <w:shd w:val="clear" w:color="auto" w:fill="auto"/>
        <w:tabs>
          <w:tab w:val="left" w:pos="8379"/>
          <w:tab w:val="left" w:pos="8505"/>
        </w:tabs>
        <w:spacing w:line="276" w:lineRule="auto"/>
        <w:ind w:left="284" w:firstLine="800"/>
        <w:jc w:val="both"/>
      </w:pPr>
      <w:r>
        <w:t>-соблюдение установленных лимитов потребления топливно-энергетических ресурсов;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800"/>
        <w:jc w:val="both"/>
      </w:pPr>
      <w:r>
        <w:t>-анализ состояния дебиторской и кредиторской задолженностей;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720"/>
        <w:jc w:val="both"/>
      </w:pPr>
      <w:r>
        <w:t>-установление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720"/>
        <w:jc w:val="both"/>
      </w:pPr>
      <w:r>
        <w:t>-сохранение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after="320" w:line="276" w:lineRule="auto"/>
        <w:ind w:left="284" w:firstLine="800"/>
        <w:jc w:val="both"/>
      </w:pPr>
      <w:r>
        <w:t>-своевременный возврат бюджетных средств, полученных на возвратной основе.</w:t>
      </w:r>
    </w:p>
    <w:p w:rsidR="005B47E6" w:rsidRDefault="005B47E6" w:rsidP="005B47E6">
      <w:pPr>
        <w:pStyle w:val="13"/>
        <w:shd w:val="clear" w:color="auto" w:fill="auto"/>
        <w:tabs>
          <w:tab w:val="left" w:pos="2585"/>
          <w:tab w:val="left" w:pos="8505"/>
        </w:tabs>
        <w:spacing w:after="140" w:line="276" w:lineRule="auto"/>
      </w:pPr>
      <w:r>
        <w:t>3. Политика в области муниципального долга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Долговая политика Костковского сельского поселения в 2024 - 2026 гг. направлена на достижение следующих целей: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>-обеспечение отсутствия просроченных долговых обязательств;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  <w:r>
        <w:t>-минимизация стоимости обслуживания муниципального долга.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0"/>
        <w:jc w:val="both"/>
      </w:pPr>
    </w:p>
    <w:p w:rsidR="005B47E6" w:rsidRDefault="005B47E6" w:rsidP="005B47E6">
      <w:pPr>
        <w:pStyle w:val="13"/>
        <w:numPr>
          <w:ilvl w:val="0"/>
          <w:numId w:val="3"/>
        </w:numPr>
        <w:shd w:val="clear" w:color="auto" w:fill="auto"/>
        <w:tabs>
          <w:tab w:val="left" w:pos="405"/>
          <w:tab w:val="left" w:pos="8505"/>
        </w:tabs>
        <w:spacing w:after="140" w:line="276" w:lineRule="auto"/>
      </w:pPr>
      <w:r>
        <w:t>Межбюджетные отношения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Бюджетная политика в сфере межбюджетных отношений в 2024-2026 годах будет сосредоточена на решении следующих задач: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500"/>
        <w:jc w:val="both"/>
      </w:pPr>
      <w:r>
        <w:t>-обеспечение финансовой стабильности местного бюджета, в том числе путем наращивания собственной доходной базы местного бюджета с целью эффективного и качественного выполнения своих обязательств перед населением;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440"/>
        <w:jc w:val="both"/>
      </w:pPr>
      <w:r>
        <w:t>-обеспечение эффективности использования межбюджетных трансфертов, предоставленных из федерального и регионального бюджетов с целью увеличения в дальнейшем объема привлекаемых средств;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after="320" w:line="276" w:lineRule="auto"/>
        <w:ind w:left="284" w:firstLine="1440"/>
        <w:jc w:val="both"/>
      </w:pPr>
      <w:r>
        <w:lastRenderedPageBreak/>
        <w:t>-рациональное и целевое освоение полученных субсидий и субвенций на выполнение принятых расходных обязательств.</w:t>
      </w:r>
    </w:p>
    <w:p w:rsidR="005B47E6" w:rsidRDefault="005B47E6" w:rsidP="005B47E6">
      <w:pPr>
        <w:pStyle w:val="13"/>
        <w:numPr>
          <w:ilvl w:val="0"/>
          <w:numId w:val="3"/>
        </w:numPr>
        <w:shd w:val="clear" w:color="auto" w:fill="auto"/>
        <w:tabs>
          <w:tab w:val="left" w:pos="367"/>
          <w:tab w:val="left" w:pos="8505"/>
        </w:tabs>
        <w:spacing w:after="140" w:line="276" w:lineRule="auto"/>
        <w:ind w:left="284"/>
      </w:pPr>
      <w:r>
        <w:t>Финансовый контроль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560"/>
        <w:jc w:val="both"/>
      </w:pPr>
      <w:r>
        <w:t>Основными направлениями деятельности в сфере финансового контроля в 2024-2026 гг. являются:</w:t>
      </w:r>
    </w:p>
    <w:p w:rsidR="005B47E6" w:rsidRDefault="005B47E6" w:rsidP="005B47E6">
      <w:pPr>
        <w:pStyle w:val="11"/>
        <w:shd w:val="clear" w:color="auto" w:fill="auto"/>
        <w:tabs>
          <w:tab w:val="left" w:pos="8505"/>
        </w:tabs>
        <w:spacing w:line="276" w:lineRule="auto"/>
        <w:ind w:left="284" w:firstLine="1440"/>
        <w:jc w:val="both"/>
      </w:pPr>
      <w:r>
        <w:t>-осуществление финансового контроля за целевым, эффективным и экономным использованием бюджетных средств бюджета Костковского сельского поселения при казначейском исполнении бюджета;</w:t>
      </w:r>
    </w:p>
    <w:p w:rsidR="00A96828" w:rsidRPr="005B47E6" w:rsidRDefault="005B47E6" w:rsidP="005B47E6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47E6">
        <w:rPr>
          <w:rFonts w:ascii="Times New Roman" w:hAnsi="Times New Roman" w:cs="Times New Roman"/>
          <w:sz w:val="28"/>
          <w:szCs w:val="28"/>
        </w:rPr>
        <w:t>-осуществление внутреннего финансового контроля.</w:t>
      </w:r>
    </w:p>
    <w:sectPr w:rsidR="00A96828" w:rsidRPr="005B47E6" w:rsidSect="005B47E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D47"/>
    <w:multiLevelType w:val="hybridMultilevel"/>
    <w:tmpl w:val="236079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A7A"/>
    <w:multiLevelType w:val="multilevel"/>
    <w:tmpl w:val="32E4E6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2C2FF8"/>
    <w:multiLevelType w:val="multilevel"/>
    <w:tmpl w:val="D1BE1E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E6"/>
    <w:rsid w:val="00117DA7"/>
    <w:rsid w:val="00196839"/>
    <w:rsid w:val="005B47E6"/>
    <w:rsid w:val="00A3527B"/>
    <w:rsid w:val="00A96828"/>
    <w:rsid w:val="00FB0C78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7E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character" w:customStyle="1" w:styleId="21">
    <w:name w:val="Основной текст (2)_"/>
    <w:basedOn w:val="a0"/>
    <w:link w:val="22"/>
    <w:rsid w:val="005B47E6"/>
    <w:rPr>
      <w:rFonts w:ascii="Times New Roman" w:eastAsia="Times New Roman" w:hAnsi="Times New Roman"/>
      <w:color w:val="131312"/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11"/>
    <w:rsid w:val="005B47E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5B47E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47E6"/>
    <w:pPr>
      <w:shd w:val="clear" w:color="auto" w:fill="FFFFFF"/>
      <w:spacing w:after="260"/>
      <w:ind w:left="1700"/>
    </w:pPr>
    <w:rPr>
      <w:rFonts w:ascii="Times New Roman" w:eastAsia="Times New Roman" w:hAnsi="Times New Roman" w:cs="Times New Roman"/>
      <w:color w:val="131312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6"/>
    <w:rsid w:val="005B47E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5B47E6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7">
    <w:name w:val="Strong"/>
    <w:qFormat/>
    <w:locked/>
    <w:rsid w:val="005B47E6"/>
    <w:rPr>
      <w:b/>
      <w:bCs/>
    </w:rPr>
  </w:style>
  <w:style w:type="paragraph" w:styleId="a8">
    <w:name w:val="Body Text"/>
    <w:basedOn w:val="a"/>
    <w:link w:val="a9"/>
    <w:rsid w:val="005B47E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9">
    <w:name w:val="Основной текст Знак"/>
    <w:basedOn w:val="a0"/>
    <w:link w:val="a8"/>
    <w:rsid w:val="005B47E6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B40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019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7E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character" w:customStyle="1" w:styleId="21">
    <w:name w:val="Основной текст (2)_"/>
    <w:basedOn w:val="a0"/>
    <w:link w:val="22"/>
    <w:rsid w:val="005B47E6"/>
    <w:rPr>
      <w:rFonts w:ascii="Times New Roman" w:eastAsia="Times New Roman" w:hAnsi="Times New Roman"/>
      <w:color w:val="131312"/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11"/>
    <w:rsid w:val="005B47E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5B47E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47E6"/>
    <w:pPr>
      <w:shd w:val="clear" w:color="auto" w:fill="FFFFFF"/>
      <w:spacing w:after="260"/>
      <w:ind w:left="1700"/>
    </w:pPr>
    <w:rPr>
      <w:rFonts w:ascii="Times New Roman" w:eastAsia="Times New Roman" w:hAnsi="Times New Roman" w:cs="Times New Roman"/>
      <w:color w:val="131312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6"/>
    <w:rsid w:val="005B47E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5B47E6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7">
    <w:name w:val="Strong"/>
    <w:qFormat/>
    <w:locked/>
    <w:rsid w:val="005B47E6"/>
    <w:rPr>
      <w:b/>
      <w:bCs/>
    </w:rPr>
  </w:style>
  <w:style w:type="paragraph" w:styleId="a8">
    <w:name w:val="Body Text"/>
    <w:basedOn w:val="a"/>
    <w:link w:val="a9"/>
    <w:rsid w:val="005B47E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9">
    <w:name w:val="Основной текст Знак"/>
    <w:basedOn w:val="a0"/>
    <w:link w:val="a8"/>
    <w:rsid w:val="005B47E6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B40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019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2023-12-29T09:30:00Z</cp:lastPrinted>
  <dcterms:created xsi:type="dcterms:W3CDTF">2024-11-12T07:04:00Z</dcterms:created>
  <dcterms:modified xsi:type="dcterms:W3CDTF">2024-11-12T07:04:00Z</dcterms:modified>
</cp:coreProperties>
</file>